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5" w:rsidRPr="0060169B" w:rsidRDefault="00CF32C5" w:rsidP="00CF32C5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D209AF" wp14:editId="59CA3E7D">
            <wp:simplePos x="0" y="0"/>
            <wp:positionH relativeFrom="column">
              <wp:posOffset>-329565</wp:posOffset>
            </wp:positionH>
            <wp:positionV relativeFrom="paragraph">
              <wp:posOffset>-189865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CF32C5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CF32C5" w:rsidRPr="00AC1A84" w:rsidRDefault="00CF32C5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CF32C5" w:rsidRDefault="00CF32C5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CF32C5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CF32C5" w:rsidRPr="00841D18" w:rsidRDefault="00CF32C5" w:rsidP="008D36F5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CF32C5" w:rsidRPr="00967B1D" w:rsidRDefault="00CF32C5" w:rsidP="008D36F5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CF32C5" w:rsidRPr="00841D18" w:rsidRDefault="00CF32C5" w:rsidP="008D36F5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CF32C5" w:rsidRPr="00841D18" w:rsidRDefault="00CF32C5" w:rsidP="008D36F5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CF32C5" w:rsidRPr="00967B1D" w:rsidRDefault="00CF32C5" w:rsidP="008D36F5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F32C5" w:rsidRPr="009B232F" w:rsidRDefault="00CF32C5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F32C5" w:rsidRDefault="00CF32C5" w:rsidP="00CF32C5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47AB9" w:rsidRDefault="00447AB9" w:rsidP="00CF32C5">
      <w:pPr>
        <w:tabs>
          <w:tab w:val="left" w:pos="9781"/>
        </w:tabs>
        <w:spacing w:line="360" w:lineRule="auto"/>
        <w:ind w:right="-1080"/>
        <w:rPr>
          <w:b/>
          <w:sz w:val="24"/>
          <w:szCs w:val="24"/>
          <w:lang w:val="uk-UA"/>
        </w:rPr>
      </w:pPr>
    </w:p>
    <w:p w:rsidR="00CF32C5" w:rsidRPr="00BA5736" w:rsidRDefault="008D36F5" w:rsidP="00CF32C5">
      <w:pPr>
        <w:tabs>
          <w:tab w:val="left" w:pos="9781"/>
        </w:tabs>
        <w:spacing w:line="360" w:lineRule="auto"/>
        <w:ind w:right="-1080"/>
        <w:rPr>
          <w:sz w:val="28"/>
          <w:szCs w:val="28"/>
        </w:rPr>
      </w:pPr>
      <w:r w:rsidRPr="008D36F5">
        <w:rPr>
          <w:sz w:val="28"/>
          <w:szCs w:val="24"/>
          <w:lang w:val="uk-UA"/>
        </w:rPr>
        <w:t>01.09</w:t>
      </w:r>
      <w:r w:rsidRPr="008D36F5">
        <w:rPr>
          <w:sz w:val="24"/>
          <w:szCs w:val="24"/>
          <w:lang w:val="uk-UA"/>
        </w:rPr>
        <w:t>.</w:t>
      </w:r>
      <w:r w:rsidR="00CF32C5" w:rsidRPr="008D36F5">
        <w:rPr>
          <w:sz w:val="28"/>
          <w:szCs w:val="28"/>
        </w:rPr>
        <w:t>201</w:t>
      </w:r>
      <w:r w:rsidR="00447AB9" w:rsidRPr="008D36F5">
        <w:rPr>
          <w:sz w:val="28"/>
          <w:szCs w:val="28"/>
          <w:lang w:val="uk-UA"/>
        </w:rPr>
        <w:t>6</w:t>
      </w:r>
      <w:r w:rsidR="00CF32C5" w:rsidRPr="008D36F5">
        <w:rPr>
          <w:sz w:val="28"/>
          <w:szCs w:val="28"/>
        </w:rPr>
        <w:t xml:space="preserve">                                                                                                       </w:t>
      </w:r>
      <w:r w:rsidR="00CF32C5" w:rsidRPr="006D0811">
        <w:rPr>
          <w:sz w:val="28"/>
          <w:szCs w:val="28"/>
        </w:rPr>
        <w:t>№</w:t>
      </w:r>
      <w:r>
        <w:rPr>
          <w:sz w:val="28"/>
          <w:szCs w:val="28"/>
        </w:rPr>
        <w:t>251</w:t>
      </w:r>
    </w:p>
    <w:p w:rsidR="00CF32C5" w:rsidRPr="006D0811" w:rsidRDefault="00CF32C5" w:rsidP="00CF32C5">
      <w:pPr>
        <w:rPr>
          <w:sz w:val="28"/>
          <w:szCs w:val="28"/>
          <w:lang w:val="uk-UA"/>
        </w:rPr>
      </w:pPr>
      <w:bookmarkStart w:id="0" w:name="_GoBack"/>
      <w:bookmarkEnd w:id="0"/>
    </w:p>
    <w:p w:rsidR="00CF32C5" w:rsidRPr="001F591E" w:rsidRDefault="00CF32C5" w:rsidP="00CF32C5">
      <w:pPr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роботи з </w:t>
      </w: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обдарованою молоддю</w:t>
      </w:r>
      <w:r>
        <w:rPr>
          <w:lang w:val="uk-UA"/>
        </w:rPr>
        <w:t xml:space="preserve"> 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447AB9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="00447AB9">
        <w:rPr>
          <w:color w:val="000000"/>
          <w:sz w:val="28"/>
          <w:szCs w:val="28"/>
          <w:lang w:val="uk-UA"/>
        </w:rPr>
        <w:t xml:space="preserve">Комплексної програми розвитку освіти м. Харкова на 2011 – 2017 роки (комплексний проект «Обдарована молодь. Розвиток системи роботи з обдарованою молоддю»), </w:t>
      </w:r>
      <w:r w:rsidR="00447AB9" w:rsidRPr="007F5162">
        <w:rPr>
          <w:sz w:val="28"/>
          <w:szCs w:val="28"/>
          <w:lang w:val="uk-UA"/>
        </w:rPr>
        <w:t>затвердженої рішенням 2 сесії Харківської міської ради 6 скликання від 22.12.2010 № 47/10 (</w:t>
      </w:r>
      <w:r w:rsidR="00447AB9" w:rsidRPr="007F5162">
        <w:rPr>
          <w:rStyle w:val="apple-converted-space"/>
          <w:bCs/>
          <w:sz w:val="28"/>
          <w:szCs w:val="28"/>
        </w:rPr>
        <w:t> </w:t>
      </w:r>
      <w:r w:rsidR="00447AB9" w:rsidRPr="007F5162">
        <w:rPr>
          <w:bCs/>
          <w:sz w:val="28"/>
          <w:szCs w:val="28"/>
          <w:lang w:val="uk-UA"/>
        </w:rPr>
        <w:t>з доповненнями в редакції рішення 42 сесії Харківської міської ради 6 скликання від 23.09.2015 року № 2012/15 - до 2017 року)</w:t>
      </w:r>
      <w:proofErr w:type="spellStart"/>
      <w:r w:rsidR="00447AB9" w:rsidRPr="007F5162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Розвиток</w:t>
      </w:r>
      <w:proofErr w:type="spellEnd"/>
      <w:r>
        <w:rPr>
          <w:sz w:val="28"/>
          <w:szCs w:val="28"/>
          <w:lang w:val="uk-UA"/>
        </w:rPr>
        <w:t xml:space="preserve"> системи роботи з обдарованою молоддю), з метою взаємодії 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ради, Харківської гімназії №12 Харківської міської ради Харківської області, вищих навчальних закладів міста та громадських організацій з питань організації роботи з обдарованою молоддю</w:t>
      </w:r>
    </w:p>
    <w:p w:rsidR="00CF32C5" w:rsidRDefault="00CF32C5" w:rsidP="00CF32C5">
      <w:pPr>
        <w:ind w:right="-141" w:firstLine="540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ind w:firstLine="540"/>
        <w:jc w:val="both"/>
        <w:rPr>
          <w:sz w:val="28"/>
          <w:szCs w:val="28"/>
          <w:lang w:val="uk-UA"/>
        </w:rPr>
      </w:pPr>
    </w:p>
    <w:p w:rsidR="00CF32C5" w:rsidRPr="00977B0F" w:rsidRDefault="00CF32C5" w:rsidP="00CF32C5">
      <w:pPr>
        <w:rPr>
          <w:sz w:val="28"/>
          <w:szCs w:val="28"/>
          <w:lang w:val="uk-UA"/>
        </w:rPr>
      </w:pPr>
      <w:r w:rsidRPr="00977B0F">
        <w:rPr>
          <w:sz w:val="28"/>
          <w:szCs w:val="28"/>
          <w:lang w:val="uk-UA"/>
        </w:rPr>
        <w:t>НАКАЗУЮ: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CF32C5" w:rsidRDefault="00CF32C5" w:rsidP="00CF32C5">
      <w:pPr>
        <w:tabs>
          <w:tab w:val="left" w:pos="954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CF32C5" w:rsidRDefault="00CF32C5" w:rsidP="00CF32C5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Довести інформацію щодо роботи Координаційної ради з питань організації </w:t>
      </w:r>
      <w:r>
        <w:rPr>
          <w:sz w:val="28"/>
          <w:szCs w:val="28"/>
          <w:lang w:val="uk-UA"/>
        </w:rPr>
        <w:lastRenderedPageBreak/>
        <w:t>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 членів, які входять до складу Координаційної ради.</w:t>
      </w:r>
    </w:p>
    <w:p w:rsidR="00CF32C5" w:rsidRDefault="00CF32C5" w:rsidP="00CF32C5">
      <w:pPr>
        <w:spacing w:line="360" w:lineRule="auto"/>
        <w:ind w:left="72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0</w:t>
      </w:r>
      <w:r w:rsidR="00447A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447AB9">
        <w:rPr>
          <w:sz w:val="28"/>
          <w:szCs w:val="28"/>
          <w:lang w:val="uk-UA"/>
        </w:rPr>
        <w:t>6</w:t>
      </w:r>
    </w:p>
    <w:p w:rsidR="00CF32C5" w:rsidRDefault="00CF32C5" w:rsidP="00CF32C5">
      <w:pPr>
        <w:spacing w:line="360" w:lineRule="auto"/>
        <w:ind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Організувати роботу Координаційної ради відповідно до плану роботи.</w:t>
      </w:r>
    </w:p>
    <w:p w:rsidR="00CF32C5" w:rsidRDefault="00CF32C5" w:rsidP="00CF32C5">
      <w:pPr>
        <w:spacing w:line="360" w:lineRule="auto"/>
        <w:ind w:left="36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Упродовж 201</w:t>
      </w:r>
      <w:r w:rsidR="00447AB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447AB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навчального року</w:t>
      </w:r>
    </w:p>
    <w:p w:rsidR="00447AB9" w:rsidRPr="0025537C" w:rsidRDefault="00CF32C5" w:rsidP="00447AB9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447AB9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47AB9" w:rsidRPr="0025537C" w:rsidRDefault="00447AB9" w:rsidP="00447AB9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CF32C5" w:rsidRPr="00EA207B" w:rsidRDefault="00447AB9" w:rsidP="00447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32C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Default="00CF32C5" w:rsidP="00CF32C5">
      <w:pPr>
        <w:ind w:righ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7AB9">
        <w:rPr>
          <w:sz w:val="28"/>
          <w:szCs w:val="28"/>
          <w:lang w:val="uk-UA"/>
        </w:rPr>
        <w:t>Александрова О.Є.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Н.М.</w:t>
      </w:r>
    </w:p>
    <w:p w:rsidR="00CF32C5" w:rsidRDefault="00447AB9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А.М.</w:t>
      </w:r>
      <w:r w:rsidR="00CF32C5">
        <w:rPr>
          <w:sz w:val="28"/>
          <w:szCs w:val="28"/>
          <w:lang w:val="uk-UA"/>
        </w:rPr>
        <w:t>.</w:t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proofErr w:type="spellStart"/>
      <w:r w:rsidR="00CF32C5">
        <w:rPr>
          <w:sz w:val="28"/>
          <w:szCs w:val="28"/>
          <w:lang w:val="uk-UA"/>
        </w:rPr>
        <w:t>Арутюнова</w:t>
      </w:r>
      <w:proofErr w:type="spellEnd"/>
      <w:r w:rsidR="00CF32C5">
        <w:rPr>
          <w:sz w:val="28"/>
          <w:szCs w:val="28"/>
          <w:lang w:val="uk-UA"/>
        </w:rPr>
        <w:t xml:space="preserve"> О.О.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 О.І.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CF32C5" w:rsidRDefault="00CF32C5" w:rsidP="00CF32C5">
      <w:proofErr w:type="spellStart"/>
      <w:r w:rsidRPr="003517B2">
        <w:t>Сл</w:t>
      </w:r>
      <w:proofErr w:type="spellEnd"/>
      <w:r w:rsidRPr="003517B2">
        <w:rPr>
          <w:lang w:val="uk-UA"/>
        </w:rPr>
        <w:t>і</w:t>
      </w:r>
      <w:proofErr w:type="spellStart"/>
      <w:r w:rsidRPr="003517B2">
        <w:t>нько</w:t>
      </w:r>
      <w:proofErr w:type="spellEnd"/>
      <w:r w:rsidRPr="003517B2">
        <w:t xml:space="preserve"> Л.А.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8D38CD">
        <w:rPr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>Додаток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jc w:val="center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Pr="001F7E50">
        <w:rPr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CF32C5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в</w:t>
      </w:r>
      <w:r w:rsidRPr="001F7E50">
        <w:rPr>
          <w:color w:val="000000"/>
          <w:spacing w:val="8"/>
          <w:sz w:val="24"/>
          <w:szCs w:val="24"/>
          <w:lang w:val="uk-UA"/>
        </w:rPr>
        <w:t>ід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="00447AB9">
        <w:rPr>
          <w:color w:val="000000"/>
          <w:spacing w:val="8"/>
          <w:sz w:val="24"/>
          <w:szCs w:val="24"/>
          <w:lang w:val="uk-UA"/>
        </w:rPr>
        <w:t>____________</w:t>
      </w:r>
      <w:r w:rsidRPr="001F7E50">
        <w:rPr>
          <w:color w:val="000000"/>
          <w:spacing w:val="8"/>
          <w:sz w:val="24"/>
          <w:szCs w:val="24"/>
          <w:lang w:val="uk-UA"/>
        </w:rPr>
        <w:t xml:space="preserve"> №</w:t>
      </w:r>
      <w:r w:rsidR="00447AB9">
        <w:rPr>
          <w:color w:val="000000"/>
          <w:spacing w:val="8"/>
          <w:sz w:val="24"/>
          <w:szCs w:val="24"/>
          <w:lang w:val="uk-UA"/>
        </w:rPr>
        <w:t>_____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</w:p>
    <w:p w:rsidR="00CF32C5" w:rsidRDefault="00CF32C5" w:rsidP="00CF32C5">
      <w:pPr>
        <w:shd w:val="clear" w:color="auto" w:fill="FFFFFF"/>
        <w:tabs>
          <w:tab w:val="left" w:pos="720"/>
          <w:tab w:val="left" w:pos="3960"/>
        </w:tabs>
        <w:spacing w:before="5"/>
        <w:ind w:right="442"/>
        <w:rPr>
          <w:lang w:val="uk-UA"/>
        </w:rPr>
      </w:pPr>
    </w:p>
    <w:p w:rsidR="00CF32C5" w:rsidRPr="002870CF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Склад Координаційної ради</w:t>
      </w:r>
    </w:p>
    <w:p w:rsidR="00CF32C5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з питань роботи з обдарованою молоддю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Координаційної ради–директор гімназії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 голови Координаційної ради –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Анатоліївна.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Члени Координаційної ради: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Петрик Наталія Миколаївна – учитель російської мови та світової літератури, голова методичного об</w:t>
      </w:r>
      <w:r w:rsidRPr="005B10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філологів;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Лукаш Оксана Іванівна – учитель географії,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суспільно-природничого циклу;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AB9">
        <w:rPr>
          <w:sz w:val="28"/>
          <w:szCs w:val="28"/>
          <w:lang w:val="uk-UA"/>
        </w:rPr>
        <w:t>Александрова О.Є.</w:t>
      </w:r>
      <w:r>
        <w:rPr>
          <w:sz w:val="28"/>
          <w:szCs w:val="28"/>
          <w:lang w:val="uk-UA"/>
        </w:rPr>
        <w:t xml:space="preserve"> – учитель англійської мови,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іноземної філології;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Борисенко Наталія Володимирівна – учитель фізичної культури,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естетично-фізичного циклу та вчителів Захисту Вітчизни;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Миргород Марина Євгенівна – учитель початкових класів,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Субота Елла Олексіївна – учитель математики,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математики, фізики та інформатики;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AB9">
        <w:rPr>
          <w:sz w:val="28"/>
          <w:szCs w:val="28"/>
          <w:lang w:val="uk-UA"/>
        </w:rPr>
        <w:t>Кириченко А.М.</w:t>
      </w:r>
      <w:r>
        <w:rPr>
          <w:sz w:val="28"/>
          <w:szCs w:val="28"/>
          <w:lang w:val="uk-UA"/>
        </w:rPr>
        <w:t xml:space="preserve"> – учитель історії;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Ольга Зіновіївна – учитель української мови та літератури;</w:t>
      </w:r>
    </w:p>
    <w:p w:rsidR="00CF32C5" w:rsidRDefault="00CF32C5" w:rsidP="00CF32C5">
      <w:pPr>
        <w:spacing w:line="360" w:lineRule="auto"/>
        <w:ind w:left="-360"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Олена Олександрівна – учитель хімії.</w:t>
      </w:r>
    </w:p>
    <w:p w:rsidR="000510A1" w:rsidRPr="00CF32C5" w:rsidRDefault="000510A1">
      <w:pPr>
        <w:rPr>
          <w:lang w:val="uk-UA"/>
        </w:rPr>
      </w:pPr>
    </w:p>
    <w:sectPr w:rsidR="000510A1" w:rsidRPr="00CF32C5" w:rsidSect="00CF32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E"/>
    <w:rsid w:val="000510A1"/>
    <w:rsid w:val="001F1DEE"/>
    <w:rsid w:val="00447AB9"/>
    <w:rsid w:val="0048145A"/>
    <w:rsid w:val="008D36F5"/>
    <w:rsid w:val="00A14630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2014-11-28T14:32:00Z</dcterms:created>
  <dcterms:modified xsi:type="dcterms:W3CDTF">2016-09-09T09:36:00Z</dcterms:modified>
</cp:coreProperties>
</file>